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F1408" w14:textId="2F1B5999" w:rsidR="008D2E26" w:rsidRDefault="008D2E26" w:rsidP="008D2E26">
      <w:pPr>
        <w:rPr>
          <w:strike/>
        </w:rPr>
      </w:pPr>
      <w:r w:rsidRPr="008D2E26">
        <w:t>PG&amp;E reiterate</w:t>
      </w:r>
      <w:r w:rsidR="00886AD7">
        <w:t>s</w:t>
      </w:r>
      <w:r w:rsidRPr="008D2E26">
        <w:t xml:space="preserve"> the questions raised </w:t>
      </w:r>
      <w:r w:rsidR="007D5FDD">
        <w:t>in PG&amp;E’s</w:t>
      </w:r>
      <w:r w:rsidR="007D5FDD" w:rsidRPr="008D2E26">
        <w:t xml:space="preserve"> </w:t>
      </w:r>
      <w:r w:rsidRPr="008D2E26">
        <w:t>PRR</w:t>
      </w:r>
      <w:r w:rsidR="009561C6">
        <w:t xml:space="preserve"> comments</w:t>
      </w:r>
      <w:r w:rsidRPr="008D2E26">
        <w:t xml:space="preserve"> submitted to the CAISO on Feb 13, 2024. PG&amp;E requests again that the CAISO provide the underlying data to support this change</w:t>
      </w:r>
      <w:r w:rsidR="003C421B">
        <w:t xml:space="preserve"> and </w:t>
      </w:r>
      <w:r w:rsidRPr="008D2E26">
        <w:t xml:space="preserve">address the </w:t>
      </w:r>
      <w:r w:rsidR="00E542FD">
        <w:t>comments</w:t>
      </w:r>
      <w:r w:rsidRPr="008D2E26">
        <w:t xml:space="preserve"> regarding </w:t>
      </w:r>
      <w:r>
        <w:t>the need for an ASSOC stakeholder process. PG&amp;E offers the following additional comments:</w:t>
      </w:r>
    </w:p>
    <w:p w14:paraId="2DB0339A" w14:textId="77777777" w:rsidR="008D2E26" w:rsidRDefault="008D2E26" w:rsidP="008D2E26"/>
    <w:p w14:paraId="5BB8535D" w14:textId="77777777" w:rsidR="008D2E26" w:rsidRDefault="008D2E26" w:rsidP="008D2E26">
      <w:pPr>
        <w:pStyle w:val="ListParagraph"/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More information is needed on whether the ASSOC flag is working as designed for binding intervals. </w:t>
      </w:r>
    </w:p>
    <w:p w14:paraId="49630E5F" w14:textId="77777777" w:rsidR="008D2E26" w:rsidRDefault="008D2E26" w:rsidP="008D2E26">
      <w:pPr>
        <w:pStyle w:val="ListParagraph"/>
      </w:pPr>
    </w:p>
    <w:p w14:paraId="782B2874" w14:textId="73615B82" w:rsidR="008D2E26" w:rsidRDefault="008D2E26" w:rsidP="008D2E26">
      <w:r>
        <w:t>In the first part of the CAISO’s response, reference was made to a change in the ASSOC equation during the Energy Storage Enhancements implementation on July 1</w:t>
      </w:r>
      <w:r>
        <w:rPr>
          <w:vertAlign w:val="superscript"/>
        </w:rPr>
        <w:t>st</w:t>
      </w:r>
      <w:r>
        <w:t xml:space="preserve"> 2023. </w:t>
      </w:r>
      <w:r w:rsidR="00886AD7">
        <w:t xml:space="preserve">Would </w:t>
      </w:r>
      <w:r>
        <w:t>the CAISO confirm that this refers to ESE-BRQ043 from the ESE business requirements specifications? (</w:t>
      </w:r>
      <w:hyperlink r:id="rId8" w:history="1">
        <w:r>
          <w:rPr>
            <w:rStyle w:val="Hyperlink"/>
          </w:rPr>
          <w:t>https://www.caiso.com/Documents/BusinessRequirementsSpecificationEnergyStorageEnhancementsTrack1.pdf</w:t>
        </w:r>
      </w:hyperlink>
      <w:r>
        <w:t>)</w:t>
      </w:r>
      <w:r w:rsidR="00886AD7">
        <w:t xml:space="preserve">. </w:t>
      </w:r>
      <w:r>
        <w:t xml:space="preserve"> If the current ASSOC logic is causing some </w:t>
      </w:r>
      <w:r>
        <w:rPr>
          <w:u w:val="single"/>
        </w:rPr>
        <w:t>binding</w:t>
      </w:r>
      <w:r>
        <w:t xml:space="preserve"> intervals to not have an ASSOC flag when in fact the flag is warranted, the CAISO needs to state this unequivocally. If this is the case,</w:t>
      </w:r>
      <w:r w:rsidR="00886AD7">
        <w:t xml:space="preserve"> PG&amp;E requests</w:t>
      </w:r>
      <w:r>
        <w:t xml:space="preserve"> the CAISO focus on fixing the issue with the </w:t>
      </w:r>
      <w:r>
        <w:rPr>
          <w:u w:val="single"/>
        </w:rPr>
        <w:t>binding</w:t>
      </w:r>
      <w:r>
        <w:t xml:space="preserve"> interval logic rather than expanding the ASSOC flag to include advisory intervals. </w:t>
      </w:r>
      <w:r w:rsidR="00886AD7">
        <w:t xml:space="preserve">PG&amp;E believes </w:t>
      </w:r>
      <w:r>
        <w:t>changes proposed in this PRR are overreaching and counter to the design of the ASSOC constraint.  </w:t>
      </w:r>
    </w:p>
    <w:p w14:paraId="2ABBD118" w14:textId="77777777" w:rsidR="008D2E26" w:rsidRDefault="008D2E26" w:rsidP="008D2E26"/>
    <w:p w14:paraId="02514F61" w14:textId="77777777" w:rsidR="008D2E26" w:rsidRDefault="008D2E26" w:rsidP="008D2E26">
      <w:pPr>
        <w:pStyle w:val="ListParagraph"/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The changes proposed in PRR1547 are inconsistent with the CAISO Tariff.</w:t>
      </w:r>
    </w:p>
    <w:p w14:paraId="045EDE8F" w14:textId="77777777" w:rsidR="008D2E26" w:rsidRDefault="008D2E26" w:rsidP="008D2E26">
      <w:pPr>
        <w:pStyle w:val="ListParagraph"/>
      </w:pPr>
    </w:p>
    <w:p w14:paraId="468CCEC5" w14:textId="61CD09D7" w:rsidR="008D2E26" w:rsidRDefault="008D2E26" w:rsidP="008D2E26">
      <w:r>
        <w:t xml:space="preserve">Tarriff Section 11.6.6 reads “Where the CAISO dispatches storage resources participating as Non-Generator Resources to charge or discharge pursuant to Sections 8.4.1.1(g) or 8.4.3 for the Real-Time Market, they will be ineligible for RTM Bid Cost Shortfalls.” The CAISO’s rationale is that since “all advisory intervals in a market run </w:t>
      </w:r>
      <w:r>
        <w:rPr>
          <w:b/>
          <w:bCs/>
          <w:i/>
          <w:iCs/>
        </w:rPr>
        <w:t>have the ability to drive an uneconomical dispatch</w:t>
      </w:r>
      <w:r>
        <w:t xml:space="preserve"> of the storage resource in the financially-binding interval” (emphasis added), those intervals should also be ineligible for bid cost recovery (BCR). This argument conflates dispatch for storage resources with conditions that </w:t>
      </w:r>
      <w:r>
        <w:rPr>
          <w:i/>
          <w:iCs/>
        </w:rPr>
        <w:t>may lead</w:t>
      </w:r>
      <w:r>
        <w:t xml:space="preserve"> to dispatch for storage resources. Unless the CAISO can demonstrate that </w:t>
      </w:r>
      <w:r>
        <w:rPr>
          <w:u w:val="single"/>
        </w:rPr>
        <w:t>all</w:t>
      </w:r>
      <w:r>
        <w:t xml:space="preserve"> advisory intervals which cause an ASSOC flag cause uneconomic dispatch in the corresponding binding intervals,</w:t>
      </w:r>
      <w:r w:rsidR="00886AD7">
        <w:t xml:space="preserve"> PG&amp;E believes</w:t>
      </w:r>
      <w:r>
        <w:t xml:space="preserve"> the changes proposed in PRR1547 are inconsistent with the Tariff.</w:t>
      </w:r>
    </w:p>
    <w:p w14:paraId="22E53C97" w14:textId="77777777" w:rsidR="008D2E26" w:rsidRDefault="008D2E26" w:rsidP="008D2E26"/>
    <w:p w14:paraId="4F524006" w14:textId="77777777" w:rsidR="008D2E26" w:rsidRDefault="008D2E26" w:rsidP="008D2E26">
      <w:pPr>
        <w:pStyle w:val="ListParagraph"/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The CAISO’s commitments made to FERC should be upheld. </w:t>
      </w:r>
    </w:p>
    <w:p w14:paraId="216F17D9" w14:textId="77777777" w:rsidR="008D2E26" w:rsidRDefault="008D2E26" w:rsidP="008D2E26"/>
    <w:p w14:paraId="3DF2A85D" w14:textId="7E8CF2CB" w:rsidR="008D2E26" w:rsidRDefault="008D2E26" w:rsidP="008D2E26">
      <w:r>
        <w:t>In the September 19</w:t>
      </w:r>
      <w:r>
        <w:rPr>
          <w:vertAlign w:val="superscript"/>
        </w:rPr>
        <w:t>th</w:t>
      </w:r>
      <w:r>
        <w:t xml:space="preserve"> 2022 FERC filing, while describing which intervals shall be made ineligible for BCR, the CAISO states: “The CAISO’s proposal will not affect the availability of bid cost recovery payments to storage resources during any other intervals.” If the </w:t>
      </w:r>
      <w:r w:rsidR="00886AD7">
        <w:t xml:space="preserve">CAISO implements </w:t>
      </w:r>
      <w:r>
        <w:t xml:space="preserve">changes in PRR1547 </w:t>
      </w:r>
      <w:r w:rsidR="00886AD7">
        <w:t>as proposed</w:t>
      </w:r>
      <w:r>
        <w:t xml:space="preserve">, this would expand the number of intervals ineligible for BCR and </w:t>
      </w:r>
      <w:r w:rsidR="00886AD7">
        <w:t>be inconsistent with language</w:t>
      </w:r>
      <w:r>
        <w:t xml:space="preserve"> the CAISO </w:t>
      </w:r>
      <w:r w:rsidR="00886AD7">
        <w:t xml:space="preserve">submitted </w:t>
      </w:r>
      <w:r>
        <w:t>in its FERC filing.</w:t>
      </w:r>
    </w:p>
    <w:p w14:paraId="3CA9F514" w14:textId="77777777" w:rsidR="002052A5" w:rsidRDefault="002052A5"/>
    <w:sectPr w:rsidR="002052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C200F" w14:textId="77777777" w:rsidR="00440B36" w:rsidRDefault="00440B36" w:rsidP="003E0F38">
      <w:r>
        <w:separator/>
      </w:r>
    </w:p>
  </w:endnote>
  <w:endnote w:type="continuationSeparator" w:id="0">
    <w:p w14:paraId="0001FD6E" w14:textId="77777777" w:rsidR="00440B36" w:rsidRDefault="00440B36" w:rsidP="003E0F38">
      <w:r>
        <w:continuationSeparator/>
      </w:r>
    </w:p>
  </w:endnote>
  <w:endnote w:type="continuationNotice" w:id="1">
    <w:p w14:paraId="055AFA41" w14:textId="77777777" w:rsidR="00440B36" w:rsidRDefault="00440B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D0A8" w14:textId="309DBCA0" w:rsidR="003E0F38" w:rsidRDefault="008925B3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E5A07FD" wp14:editId="5ED8EE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001729312" name="Text Box 2" descr="Public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5A3CC" w14:textId="74199289" w:rsidR="008925B3" w:rsidRPr="008925B3" w:rsidRDefault="008925B3" w:rsidP="008925B3">
                          <w:pPr>
                            <w:rPr>
                              <w:rFonts w:eastAsia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925B3">
                            <w:rPr>
                              <w:rFonts w:eastAsia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Public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5A07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 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875A3CC" w14:textId="74199289" w:rsidR="008925B3" w:rsidRPr="008925B3" w:rsidRDefault="008925B3" w:rsidP="008925B3">
                    <w:pPr>
                      <w:rPr>
                        <w:rFonts w:eastAsia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8925B3">
                      <w:rPr>
                        <w:rFonts w:eastAsia="Calibri"/>
                        <w:noProof/>
                        <w:color w:val="000000"/>
                        <w:sz w:val="24"/>
                        <w:szCs w:val="24"/>
                      </w:rPr>
                      <w:t xml:space="preserve">Public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7CC77" w14:textId="092F6E1E" w:rsidR="003E0F38" w:rsidRDefault="008925B3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BA01C62" wp14:editId="34305913">
              <wp:simplePos x="914400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93372929" name="Text Box 3" descr="Public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00F1E5" w14:textId="174CA4C7" w:rsidR="008925B3" w:rsidRPr="008925B3" w:rsidRDefault="008925B3" w:rsidP="008925B3">
                          <w:pPr>
                            <w:rPr>
                              <w:rFonts w:eastAsia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925B3">
                            <w:rPr>
                              <w:rFonts w:eastAsia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Public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01C6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 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800F1E5" w14:textId="174CA4C7" w:rsidR="008925B3" w:rsidRPr="008925B3" w:rsidRDefault="008925B3" w:rsidP="008925B3">
                    <w:pPr>
                      <w:rPr>
                        <w:rFonts w:eastAsia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8925B3">
                      <w:rPr>
                        <w:rFonts w:eastAsia="Calibri"/>
                        <w:noProof/>
                        <w:color w:val="000000"/>
                        <w:sz w:val="24"/>
                        <w:szCs w:val="24"/>
                      </w:rPr>
                      <w:t xml:space="preserve">Public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759CC" w14:textId="07EB4AE5" w:rsidR="003E0F38" w:rsidRDefault="008925B3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A4E804" wp14:editId="427264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004137182" name="Text Box 1" descr="Public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225A2A" w14:textId="13E9F898" w:rsidR="008925B3" w:rsidRPr="008925B3" w:rsidRDefault="008925B3" w:rsidP="008925B3">
                          <w:pPr>
                            <w:rPr>
                              <w:rFonts w:eastAsia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925B3">
                            <w:rPr>
                              <w:rFonts w:eastAsia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Public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A4E8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F225A2A" w14:textId="13E9F898" w:rsidR="008925B3" w:rsidRPr="008925B3" w:rsidRDefault="008925B3" w:rsidP="008925B3">
                    <w:pPr>
                      <w:rPr>
                        <w:rFonts w:eastAsia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8925B3">
                      <w:rPr>
                        <w:rFonts w:eastAsia="Calibri"/>
                        <w:noProof/>
                        <w:color w:val="000000"/>
                        <w:sz w:val="24"/>
                        <w:szCs w:val="24"/>
                      </w:rPr>
                      <w:t xml:space="preserve">Public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6FC0F" w14:textId="77777777" w:rsidR="00440B36" w:rsidRDefault="00440B36" w:rsidP="003E0F38">
      <w:r>
        <w:separator/>
      </w:r>
    </w:p>
  </w:footnote>
  <w:footnote w:type="continuationSeparator" w:id="0">
    <w:p w14:paraId="37014238" w14:textId="77777777" w:rsidR="00440B36" w:rsidRDefault="00440B36" w:rsidP="003E0F38">
      <w:r>
        <w:continuationSeparator/>
      </w:r>
    </w:p>
  </w:footnote>
  <w:footnote w:type="continuationNotice" w:id="1">
    <w:p w14:paraId="75CA2854" w14:textId="77777777" w:rsidR="00440B36" w:rsidRDefault="00440B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A6980" w14:textId="77777777" w:rsidR="003E0F38" w:rsidRDefault="003E0F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3E377" w14:textId="77777777" w:rsidR="003E0F38" w:rsidRDefault="003E0F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6D84E" w14:textId="77777777" w:rsidR="003E0F38" w:rsidRDefault="003E0F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07262"/>
    <w:multiLevelType w:val="hybridMultilevel"/>
    <w:tmpl w:val="3CF87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124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85"/>
    <w:rsid w:val="0018654B"/>
    <w:rsid w:val="002052A5"/>
    <w:rsid w:val="002B3085"/>
    <w:rsid w:val="003A76D2"/>
    <w:rsid w:val="003C421B"/>
    <w:rsid w:val="003E0F38"/>
    <w:rsid w:val="00440B36"/>
    <w:rsid w:val="00683B05"/>
    <w:rsid w:val="006A19CB"/>
    <w:rsid w:val="007D5FDD"/>
    <w:rsid w:val="008079A2"/>
    <w:rsid w:val="00886AD7"/>
    <w:rsid w:val="008925B3"/>
    <w:rsid w:val="008D2E26"/>
    <w:rsid w:val="009561C6"/>
    <w:rsid w:val="00E5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EDA47"/>
  <w15:chartTrackingRefBased/>
  <w15:docId w15:val="{5608D436-B222-451B-9D12-5A1F3F99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E26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2E2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D2E2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E0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F38"/>
    <w:rPr>
      <w:rFonts w:ascii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0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F38"/>
    <w:rPr>
      <w:rFonts w:ascii="Calibri" w:hAnsi="Calibri" w:cs="Calibri"/>
      <w:kern w:val="0"/>
      <w14:ligatures w14:val="none"/>
    </w:rPr>
  </w:style>
  <w:style w:type="paragraph" w:styleId="Revision">
    <w:name w:val="Revision"/>
    <w:hidden/>
    <w:uiPriority w:val="99"/>
    <w:semiHidden/>
    <w:rsid w:val="00886AD7"/>
    <w:pPr>
      <w:spacing w:after="0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iso.com/Documents/BusinessRequirementsSpecificationEnergyStorageEnhancementsTrack1.pdf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BD3B0A-2718-4357-9F4A-066B387214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220EB1-F2AC-431E-8C51-21CB86CC5ADB}"/>
</file>

<file path=customXml/itemProps3.xml><?xml version="1.0" encoding="utf-8"?>
<ds:datastoreItem xmlns:ds="http://schemas.openxmlformats.org/officeDocument/2006/customXml" ds:itemID="{A3BE4873-74E0-4FCE-A503-87B80926A48F}"/>
</file>

<file path=customXml/itemProps4.xml><?xml version="1.0" encoding="utf-8"?>
<ds:datastoreItem xmlns:ds="http://schemas.openxmlformats.org/officeDocument/2006/customXml" ds:itemID="{B07C1A5B-C24D-46D9-9F63-4C21FBAF9A41}"/>
</file>

<file path=docMetadata/LabelInfo.xml><?xml version="1.0" encoding="utf-8"?>
<clbl:labelList xmlns:clbl="http://schemas.microsoft.com/office/2020/mipLabelMetadata">
  <clbl:label id="{d3837e6c-d705-437e-b3ab-e6d8024f5cad}" enabled="1" method="Privileged" siteId="{44ae661a-ece6-41aa-bc96-7c2c85a0894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Volpe, Michael (Merchant)</dc:creator>
  <cp:keywords/>
  <dc:description/>
  <cp:lastModifiedBy>Volpe, Michael (Merchant)</cp:lastModifiedBy>
  <cp:revision>5</cp:revision>
  <dcterms:created xsi:type="dcterms:W3CDTF">2024-03-11T22:31:00Z</dcterms:created>
  <dcterms:modified xsi:type="dcterms:W3CDTF">2024-03-12T17:05:00Z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3bd9eade,3bb52d20,b86a301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Public </vt:lpwstr>
  </property>
</Properties>
</file>